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Załącznik nr 4 do Zarządzenia Nr…………..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4"/>
          <w:szCs w:val="24"/>
        </w:rPr>
      </w:pPr>
    </w:p>
    <w:p w:rsidR="003B43A6" w:rsidRDefault="00767B09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KARTA KURSU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3B43A6" w:rsidRPr="00D724EE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Dydaktyka przedmiotu II-1</w:t>
            </w:r>
          </w:p>
        </w:tc>
      </w:tr>
      <w:tr w:rsidR="003B43A6" w:rsidRPr="00D724EE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TEFL </w:t>
            </w:r>
            <w:proofErr w:type="spellStart"/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methodology</w:t>
            </w:r>
            <w:proofErr w:type="spellEnd"/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3B43A6" w:rsidRPr="00D724EE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B43A6" w:rsidRPr="00D724EE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</w:p>
        </w:tc>
      </w:tr>
    </w:tbl>
    <w:p w:rsidR="003B43A6" w:rsidRPr="00D724EE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B43A6" w:rsidRPr="00D724EE"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right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dr  hab</w:t>
            </w:r>
            <w:proofErr w:type="gramEnd"/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. Joanna Rokita-Jaśkow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Zespół dydaktyczny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Dr A. Strzałka</w:t>
            </w:r>
          </w:p>
          <w:p w:rsidR="00F559BD" w:rsidRPr="00D724EE" w:rsidRDefault="00F55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inni</w:t>
            </w: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Opis kursu (cele </w:t>
      </w:r>
      <w:r w:rsidR="000B2617">
        <w:rPr>
          <w:rFonts w:ascii="Arial" w:eastAsia="Arial" w:hAnsi="Arial" w:cs="Arial"/>
          <w:color w:val="000000"/>
          <w:sz w:val="22"/>
          <w:szCs w:val="22"/>
        </w:rPr>
        <w:t>uczenia się</w:t>
      </w:r>
      <w:r>
        <w:rPr>
          <w:rFonts w:ascii="Arial" w:eastAsia="Arial" w:hAnsi="Arial" w:cs="Arial"/>
          <w:color w:val="000000"/>
          <w:sz w:val="22"/>
          <w:szCs w:val="22"/>
        </w:rPr>
        <w:t>)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3B43A6">
        <w:trPr>
          <w:trHeight w:val="1360"/>
        </w:trPr>
        <w:tc>
          <w:tcPr>
            <w:tcW w:w="9640" w:type="dxa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Celem kursu jest omówienie wybranych problemów dydaktyki języka obcego z naciskiem na czynniki wpływające na przyswajanie języka obcego oraz nowe tendencje w nauczaniu </w:t>
            </w:r>
            <w:r>
              <w:rPr>
                <w:rFonts w:ascii="Arial" w:eastAsia="Arial" w:hAnsi="Arial" w:cs="Arial"/>
                <w:sz w:val="22"/>
                <w:szCs w:val="22"/>
              </w:rPr>
              <w:t>języków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obcych. Kurs jest rozszerzeniem, utrwaleniem i usystematyzowaniem wiedzy zdobytej na zajęciach z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dydaktyki  na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poziomie licencjackim. Kurs prowadzony jest w języku angielskim.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B43A6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Wiedza</w:t>
            </w:r>
          </w:p>
        </w:tc>
        <w:tc>
          <w:tcPr>
            <w:tcW w:w="7699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Znajomość terminologii, technik i podstaw dydaktyki języków obcych.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Umiejętność pisania konspektów lekcji, wyboru i ewaluacji materiałów dydaktycznych, prowadzenia lekcji na etapie szkoły podstawowej.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Kursy</w:t>
            </w:r>
          </w:p>
        </w:tc>
        <w:tc>
          <w:tcPr>
            <w:tcW w:w="7699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Dydaktyka języków obcych na poziomie licencjackim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F559B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Efekty uczenia się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43A6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43A6" w:rsidRDefault="00767B09" w:rsidP="00F55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Efekt </w:t>
            </w:r>
            <w:r w:rsidR="00F559BD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uczenia </w:t>
            </w:r>
            <w:proofErr w:type="gramStart"/>
            <w:r w:rsidR="00F559BD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się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kursu</w:t>
            </w:r>
            <w:proofErr w:type="gramEnd"/>
          </w:p>
        </w:tc>
        <w:tc>
          <w:tcPr>
            <w:tcW w:w="2365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kierunkowych</w:t>
            </w:r>
          </w:p>
        </w:tc>
      </w:tr>
      <w:tr w:rsidR="003B43A6">
        <w:trPr>
          <w:trHeight w:val="1820"/>
        </w:trPr>
        <w:tc>
          <w:tcPr>
            <w:tcW w:w="1979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96" w:type="dxa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Student:</w:t>
            </w:r>
          </w:p>
          <w:tbl>
            <w:tblPr>
              <w:tblStyle w:val="a5"/>
              <w:tblW w:w="5156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3B43A6">
              <w:trPr>
                <w:trHeight w:val="680"/>
              </w:trPr>
              <w:tc>
                <w:tcPr>
                  <w:tcW w:w="5156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>W01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 ma pogłębioną i rozszerzoną wiedzę o specyfice przedmiotowej i metodologicznej w zakresie filologii, którą jest w stanie rozwijać i twórczo stosować w działalności profesjonalnej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tbl>
            <w:tblPr>
              <w:tblStyle w:val="a6"/>
              <w:tblW w:w="5156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3B43A6">
              <w:trPr>
                <w:trHeight w:val="680"/>
              </w:trPr>
              <w:tc>
                <w:tcPr>
                  <w:tcW w:w="5156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>W02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 ma uporządkowaną, pogłębioną wiedzę, obejmującą terminologię, teorie i metodologię z zakresu dydaktyki języka obcego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7"/>
              <w:tblW w:w="1174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3B43A6">
              <w:trPr>
                <w:trHeight w:val="180"/>
              </w:trPr>
              <w:tc>
                <w:tcPr>
                  <w:tcW w:w="1174" w:type="dxa"/>
                </w:tcPr>
                <w:p w:rsidR="003B43A6" w:rsidRDefault="00F559BD" w:rsidP="00F559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2</w:t>
                  </w: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W01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8"/>
              <w:tblW w:w="1022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2"/>
            </w:tblGrid>
            <w:tr w:rsidR="003B43A6">
              <w:trPr>
                <w:trHeight w:val="180"/>
              </w:trPr>
              <w:tc>
                <w:tcPr>
                  <w:tcW w:w="1022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K2_W03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43A6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kierunkowych</w:t>
            </w:r>
          </w:p>
        </w:tc>
      </w:tr>
      <w:tr w:rsidR="003B43A6">
        <w:trPr>
          <w:trHeight w:val="2100"/>
        </w:trPr>
        <w:tc>
          <w:tcPr>
            <w:tcW w:w="1985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45" w:type="dxa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Student 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U01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umie zaplanować i przeprowadzić lekcję, dokonać wyboru stosownych środków dydaktycznych dla danej grupy uczniów.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U02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potrafi dokonać autoanalizy i autorefleksji nad własnym procesem dydaktycznym, łącząc wiedzę praktyczną i teoretyczną.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  <w:tbl>
            <w:tblPr>
              <w:tblStyle w:val="aa"/>
              <w:tblW w:w="112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7"/>
            </w:tblGrid>
            <w:tr w:rsidR="003B43A6">
              <w:trPr>
                <w:trHeight w:val="180"/>
              </w:trPr>
              <w:tc>
                <w:tcPr>
                  <w:tcW w:w="1127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U01 </w:t>
                  </w:r>
                </w:p>
              </w:tc>
            </w:tr>
          </w:tbl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b"/>
              <w:tblW w:w="112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7"/>
            </w:tblGrid>
            <w:tr w:rsidR="003B43A6">
              <w:trPr>
                <w:trHeight w:val="180"/>
              </w:trPr>
              <w:tc>
                <w:tcPr>
                  <w:tcW w:w="1127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U03 </w:t>
                  </w:r>
                </w:p>
              </w:tc>
            </w:tr>
          </w:tbl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c"/>
              <w:tblW w:w="112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7"/>
            </w:tblGrid>
            <w:tr w:rsidR="003B43A6">
              <w:trPr>
                <w:trHeight w:val="180"/>
              </w:trPr>
              <w:tc>
                <w:tcPr>
                  <w:tcW w:w="1127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_U06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d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43A6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kierunkowych</w:t>
            </w:r>
          </w:p>
        </w:tc>
      </w:tr>
      <w:tr w:rsidR="003B43A6">
        <w:trPr>
          <w:trHeight w:val="1980"/>
        </w:trPr>
        <w:tc>
          <w:tcPr>
            <w:tcW w:w="1985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45" w:type="dxa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Student:</w:t>
            </w:r>
          </w:p>
          <w:tbl>
            <w:tblPr>
              <w:tblStyle w:val="ae"/>
              <w:tblW w:w="510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3B43A6">
              <w:trPr>
                <w:trHeight w:val="420"/>
              </w:trPr>
              <w:tc>
                <w:tcPr>
                  <w:tcW w:w="5105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>K01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 rozumie potrzebę uczenia się przez całe życie, potrafi inspirować i organizować proces uczenia się innych osób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tbl>
            <w:tblPr>
              <w:tblStyle w:val="af"/>
              <w:tblW w:w="510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3B43A6">
              <w:trPr>
                <w:trHeight w:val="420"/>
              </w:trPr>
              <w:tc>
                <w:tcPr>
                  <w:tcW w:w="5105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>K02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 prawidłowo identyfikuje i rozstrzyga dylematy związane z wykonywaniem zawodu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f0"/>
              <w:tblW w:w="111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15"/>
            </w:tblGrid>
            <w:tr w:rsidR="003B43A6">
              <w:trPr>
                <w:trHeight w:val="180"/>
              </w:trPr>
              <w:tc>
                <w:tcPr>
                  <w:tcW w:w="1115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_K01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f1"/>
              <w:tblW w:w="111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15"/>
            </w:tblGrid>
            <w:tr w:rsidR="003B43A6">
              <w:trPr>
                <w:trHeight w:val="180"/>
              </w:trPr>
              <w:tc>
                <w:tcPr>
                  <w:tcW w:w="1115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K04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2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43A6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Organizacja</w:t>
            </w:r>
          </w:p>
        </w:tc>
      </w:tr>
      <w:tr w:rsidR="003B43A6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Wykład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Ćwiczenia w grupach</w:t>
            </w:r>
          </w:p>
        </w:tc>
      </w:tr>
      <w:tr w:rsidR="003B43A6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25" w:type="dxa"/>
            <w:vMerge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</w:t>
            </w:r>
          </w:p>
        </w:tc>
        <w:tc>
          <w:tcPr>
            <w:tcW w:w="272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62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</w:t>
            </w:r>
          </w:p>
        </w:tc>
        <w:tc>
          <w:tcPr>
            <w:tcW w:w="315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19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460"/>
        </w:trPr>
        <w:tc>
          <w:tcPr>
            <w:tcW w:w="1611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25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  <w:r w:rsidR="00874867">
        <w:rPr>
          <w:rFonts w:ascii="Arial" w:eastAsia="Arial" w:hAnsi="Arial" w:cs="Arial"/>
          <w:color w:val="000000"/>
          <w:sz w:val="22"/>
          <w:szCs w:val="22"/>
        </w:rPr>
        <w:t>:</w:t>
      </w:r>
      <w:r w:rsidR="00874867" w:rsidRPr="00874867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tbl>
      <w:tblPr>
        <w:tblStyle w:val="af3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>
        <w:trPr>
          <w:trHeight w:val="615"/>
        </w:trPr>
        <w:tc>
          <w:tcPr>
            <w:tcW w:w="9622" w:type="dxa"/>
          </w:tcPr>
          <w:p w:rsidR="000B2617" w:rsidRDefault="00874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</w:t>
            </w:r>
            <w:r w:rsidR="000B2617">
              <w:rPr>
                <w:rFonts w:ascii="Arial" w:eastAsia="Arial" w:hAnsi="Arial" w:cs="Arial"/>
                <w:color w:val="000000"/>
                <w:sz w:val="22"/>
                <w:szCs w:val="22"/>
              </w:rPr>
              <w:t>Wykład</w:t>
            </w:r>
            <w:r w:rsidR="000B2617">
              <w:rPr>
                <w:rFonts w:ascii="Arial" w:eastAsia="Arial" w:hAnsi="Arial" w:cs="Arial"/>
                <w:sz w:val="22"/>
                <w:szCs w:val="22"/>
              </w:rPr>
              <w:t xml:space="preserve"> w formie </w:t>
            </w:r>
            <w:proofErr w:type="spellStart"/>
            <w:r w:rsidR="000B2617">
              <w:rPr>
                <w:rFonts w:ascii="Arial" w:eastAsia="Arial" w:hAnsi="Arial" w:cs="Arial"/>
                <w:sz w:val="22"/>
                <w:szCs w:val="22"/>
              </w:rPr>
              <w:t>interaktywenej</w:t>
            </w:r>
            <w:proofErr w:type="spellEnd"/>
            <w:r w:rsidR="000B2617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0B2617">
              <w:rPr>
                <w:rFonts w:ascii="Arial" w:eastAsia="Arial" w:hAnsi="Arial" w:cs="Arial"/>
                <w:color w:val="000000"/>
                <w:sz w:val="22"/>
                <w:szCs w:val="22"/>
              </w:rPr>
              <w:t>Ćwiczenia warsztatowe</w:t>
            </w:r>
            <w:r w:rsidR="000B2617">
              <w:rPr>
                <w:rFonts w:ascii="Arial" w:eastAsia="Arial" w:hAnsi="Arial" w:cs="Arial"/>
                <w:sz w:val="22"/>
                <w:szCs w:val="22"/>
              </w:rPr>
              <w:t xml:space="preserve"> w formie </w:t>
            </w:r>
            <w:proofErr w:type="spellStart"/>
            <w:r w:rsidR="000B2617">
              <w:rPr>
                <w:rFonts w:ascii="Arial" w:eastAsia="Arial" w:hAnsi="Arial" w:cs="Arial"/>
                <w:sz w:val="22"/>
                <w:szCs w:val="22"/>
              </w:rPr>
              <w:t>peer</w:t>
            </w:r>
            <w:proofErr w:type="spellEnd"/>
            <w:r w:rsidR="000B261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0B2617">
              <w:rPr>
                <w:rFonts w:ascii="Arial" w:eastAsia="Arial" w:hAnsi="Arial" w:cs="Arial"/>
                <w:sz w:val="22"/>
                <w:szCs w:val="22"/>
              </w:rPr>
              <w:t>teaching</w:t>
            </w:r>
            <w:proofErr w:type="spellEnd"/>
            <w:r w:rsidR="000B2617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  <w:p w:rsidR="003B43A6" w:rsidRDefault="00874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W okresie zdalnego nauczania w czasie epidemii: Zajęcia odbywają się w trybie synchronicznym online, na platformie MS </w:t>
            </w:r>
            <w:proofErr w:type="spellStart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.  Materiały przekazywane są studentom za pośrednictwem poczty elektronicznej. Studenci zobowiązani są do aktywnego uczestnictwa w zajęciach online.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Formy sprawdzania efektów </w:t>
      </w:r>
      <w:r w:rsidR="000B2617">
        <w:rPr>
          <w:rFonts w:ascii="Arial" w:eastAsia="Arial" w:hAnsi="Arial" w:cs="Arial"/>
          <w:color w:val="000000"/>
          <w:sz w:val="22"/>
          <w:szCs w:val="22"/>
        </w:rPr>
        <w:t>uczenia się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4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43A6" w:rsidTr="000B2617">
        <w:trPr>
          <w:cantSplit/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Inne</w:t>
            </w: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5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B43A6"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Kryteria oceny</w:t>
            </w:r>
          </w:p>
        </w:tc>
        <w:tc>
          <w:tcPr>
            <w:tcW w:w="7699" w:type="dxa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60%  poprawnych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odpowiedzi na egzaminie pisemnym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6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B43A6">
        <w:trPr>
          <w:trHeight w:val="1080"/>
        </w:trPr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Uwagi</w:t>
            </w:r>
          </w:p>
        </w:tc>
        <w:tc>
          <w:tcPr>
            <w:tcW w:w="7699" w:type="dxa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74867" w:rsidRDefault="00874867" w:rsidP="00874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color w:val="000000"/>
                <w:sz w:val="22"/>
                <w:szCs w:val="22"/>
              </w:rPr>
            </w:pPr>
            <w:r w:rsidRPr="008259F8">
              <w:rPr>
                <w:rFonts w:ascii="Arial" w:eastAsia="Arial" w:hAnsi="Arial" w:cs="Arial"/>
                <w:color w:val="FF0000"/>
              </w:rPr>
              <w:t xml:space="preserve">W okresie zdalnego nauczania w czasie epidemii </w:t>
            </w:r>
            <w:r>
              <w:rPr>
                <w:rFonts w:ascii="Arial" w:eastAsia="Arial" w:hAnsi="Arial" w:cs="Arial"/>
                <w:color w:val="FF0000"/>
              </w:rPr>
              <w:t>s</w:t>
            </w:r>
            <w:r w:rsidRPr="008259F8">
              <w:rPr>
                <w:rFonts w:ascii="Arial" w:eastAsia="Arial" w:hAnsi="Arial" w:cs="Arial"/>
                <w:color w:val="FF0000"/>
              </w:rPr>
              <w:t xml:space="preserve">tudenci zobowiązani są do aktywnego uczestnictwa w zajęciach online. Studenci </w:t>
            </w:r>
            <w:r>
              <w:rPr>
                <w:rFonts w:ascii="Arial" w:eastAsia="Arial" w:hAnsi="Arial" w:cs="Arial"/>
                <w:color w:val="FF0000"/>
              </w:rPr>
              <w:t xml:space="preserve">prezentują swoje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lekcje   na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platformie MS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. </w:t>
            </w:r>
            <w:proofErr w:type="gramStart"/>
            <w:r w:rsidR="00B92EE5">
              <w:rPr>
                <w:rFonts w:ascii="Arial" w:eastAsia="Arial" w:hAnsi="Arial" w:cs="Arial"/>
                <w:color w:val="FF0000"/>
              </w:rPr>
              <w:t>Egzamin  odbędzie</w:t>
            </w:r>
            <w:proofErr w:type="gramEnd"/>
            <w:r w:rsidR="00B92EE5">
              <w:rPr>
                <w:rFonts w:ascii="Arial" w:eastAsia="Arial" w:hAnsi="Arial" w:cs="Arial"/>
                <w:color w:val="FF0000"/>
              </w:rPr>
              <w:t xml:space="preserve"> się w formie zdalnej.</w:t>
            </w:r>
            <w:bookmarkStart w:id="0" w:name="_GoBack"/>
            <w:bookmarkEnd w:id="0"/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7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 w:rsidRPr="00874867">
        <w:trPr>
          <w:trHeight w:val="1120"/>
        </w:trPr>
        <w:tc>
          <w:tcPr>
            <w:tcW w:w="9622" w:type="dxa"/>
          </w:tcPr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 xml:space="preserve">Affective factors at play: The role of </w:t>
            </w:r>
            <w:proofErr w:type="gramStart"/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motivation .</w:t>
            </w:r>
            <w:proofErr w:type="gramEnd"/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Self-esteem and emotions in learning a language.</w:t>
            </w:r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 xml:space="preserve">The problem of the method - </w:t>
            </w:r>
            <w:proofErr w:type="gramStart"/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conventional  language</w:t>
            </w:r>
            <w:proofErr w:type="gramEnd"/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 xml:space="preserve"> teaching methods.</w:t>
            </w:r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A review of Language teaching Methods: unconventional.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lastRenderedPageBreak/>
              <w:t>Communicative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language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skills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development.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Topic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continued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.</w:t>
            </w:r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Intercultural Approach to language teaching.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Topic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continued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Topic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continued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Autonomy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language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learning.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The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autonomous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teacher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.</w:t>
            </w:r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 xml:space="preserve"> Age as a factor in language learning and teaching.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Other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individual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factors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. 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Multiple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Intelligences</w:t>
            </w:r>
            <w:proofErr w:type="spellEnd"/>
          </w:p>
          <w:p w:rsidR="003B43A6" w:rsidRPr="00F559BD" w:rsidRDefault="00767B09" w:rsidP="00D724EE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 xml:space="preserve"> Multilingualism in Europe. Summing-up lecture.</w:t>
            </w:r>
          </w:p>
        </w:tc>
      </w:tr>
    </w:tbl>
    <w:p w:rsidR="003B43A6" w:rsidRPr="00F559BD" w:rsidRDefault="003B43A6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n-GB"/>
        </w:rPr>
      </w:pPr>
    </w:p>
    <w:p w:rsidR="003B43A6" w:rsidRPr="00F559BD" w:rsidRDefault="003B43A6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n-GB"/>
        </w:rPr>
      </w:pPr>
    </w:p>
    <w:p w:rsidR="003B43A6" w:rsidRDefault="00767B09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</w:p>
    <w:p w:rsidR="003B43A6" w:rsidRDefault="003B43A6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>
        <w:trPr>
          <w:trHeight w:val="1080"/>
        </w:trPr>
        <w:tc>
          <w:tcPr>
            <w:tcW w:w="9622" w:type="dxa"/>
          </w:tcPr>
          <w:p w:rsidR="003B43A6" w:rsidRPr="00F559BD" w:rsidRDefault="00767B09">
            <w:pPr>
              <w:keepNext/>
              <w:keepLines/>
              <w:spacing w:before="60" w:after="60"/>
              <w:rPr>
                <w:rFonts w:ascii="Arial" w:eastAsia="Arial" w:hAnsi="Arial" w:cs="Arial"/>
                <w:sz w:val="22"/>
                <w:szCs w:val="22"/>
                <w:lang w:val="en-GB"/>
              </w:rPr>
            </w:pPr>
            <w:proofErr w:type="spellStart"/>
            <w:r w:rsidRPr="00F559BD">
              <w:rPr>
                <w:rFonts w:ascii="Arial" w:eastAsia="Arial" w:hAnsi="Arial" w:cs="Arial"/>
                <w:sz w:val="22"/>
                <w:szCs w:val="22"/>
                <w:lang w:val="en-GB"/>
              </w:rPr>
              <w:t>Scharle</w:t>
            </w:r>
            <w:proofErr w:type="spellEnd"/>
            <w:r w:rsidRPr="00F559BD">
              <w:rPr>
                <w:rFonts w:ascii="Arial" w:eastAsia="Arial" w:hAnsi="Arial" w:cs="Arial"/>
                <w:sz w:val="22"/>
                <w:szCs w:val="22"/>
                <w:lang w:val="en-GB"/>
              </w:rPr>
              <w:t xml:space="preserve">, A. &amp;A. Szabo. 2005. </w:t>
            </w:r>
            <w:r w:rsidRPr="00F559BD"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>Learner Autonomy</w:t>
            </w:r>
            <w:r w:rsidRPr="00F559BD">
              <w:rPr>
                <w:rFonts w:ascii="Arial" w:eastAsia="Arial" w:hAnsi="Arial" w:cs="Arial"/>
                <w:sz w:val="22"/>
                <w:szCs w:val="22"/>
                <w:lang w:val="en-GB"/>
              </w:rPr>
              <w:t>. Cambridge: Cambridge UP.</w:t>
            </w:r>
          </w:p>
          <w:p w:rsidR="003B43A6" w:rsidRPr="00F559BD" w:rsidRDefault="00767B09">
            <w:pPr>
              <w:keepNext/>
              <w:keepLines/>
              <w:spacing w:before="60" w:after="60"/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</w:pPr>
            <w:proofErr w:type="spellStart"/>
            <w:r w:rsidRPr="00F559BD"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  <w:t>Aleidine</w:t>
            </w:r>
            <w:proofErr w:type="spellEnd"/>
            <w:r w:rsidRPr="00F559BD"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  <w:t xml:space="preserve"> J. Moeller</w:t>
            </w:r>
            <w:proofErr w:type="gramStart"/>
            <w:r w:rsidRPr="00F559BD"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  <w:t>,  K</w:t>
            </w:r>
            <w:proofErr w:type="gramEnd"/>
            <w:r w:rsidRPr="00F559BD"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  <w:t xml:space="preserve">. 2014. “Building intercultural competence in the language classroom.” </w:t>
            </w:r>
          </w:p>
          <w:p w:rsidR="003B43A6" w:rsidRPr="00F559BD" w:rsidRDefault="00767B09">
            <w:pPr>
              <w:keepNext/>
              <w:keepLines/>
              <w:spacing w:before="60" w:after="60"/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</w:pPr>
            <w:r w:rsidRPr="00F559BD"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  <w:t>Nugent University of Nebraska-Lincoln</w:t>
            </w:r>
          </w:p>
          <w:p w:rsidR="003B43A6" w:rsidRDefault="00767B09">
            <w:pPr>
              <w:keepNext/>
              <w:keepLines/>
              <w:spacing w:before="60" w:after="60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 Arnold, J. et al. 2009. “Multiple Intelligence Theory and Foreign Language Learning: Brain-based Perspective”. </w:t>
            </w:r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 xml:space="preserve">IJES. 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ttp</w:t>
            </w:r>
            <w:proofErr w:type="spellEnd"/>
            <w:proofErr w:type="gramStart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://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revistas</w:t>
            </w:r>
            <w:proofErr w:type="gramEnd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.</w:t>
            </w:r>
            <w:proofErr w:type="gramStart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um</w:t>
            </w:r>
            <w:proofErr w:type="gramEnd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.es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ijes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article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viewFile</w:t>
            </w:r>
            <w:proofErr w:type="spellEnd"/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/48141/46121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uzupełniającej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9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>
        <w:trPr>
          <w:trHeight w:val="1100"/>
        </w:trPr>
        <w:tc>
          <w:tcPr>
            <w:tcW w:w="9622" w:type="dxa"/>
          </w:tcPr>
          <w:p w:rsidR="003B43A6" w:rsidRPr="00F559BD" w:rsidRDefault="00767B09">
            <w:pPr>
              <w:widowControl w:val="0"/>
              <w:spacing w:before="240" w:after="240" w:line="276" w:lineRule="auto"/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</w:pPr>
            <w:proofErr w:type="spellStart"/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>Dakowska</w:t>
            </w:r>
            <w:proofErr w:type="spellEnd"/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, M. 2005. </w:t>
            </w:r>
            <w:r w:rsidRPr="00F559BD">
              <w:rPr>
                <w:rFonts w:ascii="Arial" w:eastAsia="Arial" w:hAnsi="Arial" w:cs="Arial"/>
                <w:i/>
                <w:color w:val="00000A"/>
                <w:sz w:val="22"/>
                <w:szCs w:val="22"/>
                <w:highlight w:val="white"/>
                <w:lang w:val="en-GB"/>
              </w:rPr>
              <w:t xml:space="preserve">Teaching English </w:t>
            </w:r>
            <w:proofErr w:type="gramStart"/>
            <w:r w:rsidRPr="00F559BD">
              <w:rPr>
                <w:rFonts w:ascii="Arial" w:eastAsia="Arial" w:hAnsi="Arial" w:cs="Arial"/>
                <w:i/>
                <w:color w:val="00000A"/>
                <w:sz w:val="22"/>
                <w:szCs w:val="22"/>
                <w:highlight w:val="white"/>
                <w:lang w:val="en-GB"/>
              </w:rPr>
              <w:t>as  Foreign</w:t>
            </w:r>
            <w:proofErr w:type="gramEnd"/>
            <w:r w:rsidRPr="00F559BD">
              <w:rPr>
                <w:rFonts w:ascii="Arial" w:eastAsia="Arial" w:hAnsi="Arial" w:cs="Arial"/>
                <w:i/>
                <w:color w:val="00000A"/>
                <w:sz w:val="22"/>
                <w:szCs w:val="22"/>
                <w:highlight w:val="white"/>
                <w:lang w:val="en-GB"/>
              </w:rPr>
              <w:t xml:space="preserve"> Language. A Guide for Professionals.</w:t>
            </w: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 Warszawa: PWN. </w:t>
            </w:r>
          </w:p>
          <w:p w:rsidR="003B43A6" w:rsidRDefault="00767B09">
            <w:pPr>
              <w:widowControl w:val="0"/>
              <w:spacing w:before="240" w:after="240" w:line="276" w:lineRule="auto"/>
              <w:rPr>
                <w:rFonts w:ascii="Arial" w:eastAsia="Arial" w:hAnsi="Arial" w:cs="Arial"/>
                <w:color w:val="D83E2C"/>
                <w:sz w:val="22"/>
                <w:szCs w:val="22"/>
                <w:highlight w:val="white"/>
                <w:u w:val="single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>Dewaele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>, J.M.</w:t>
            </w:r>
            <w:hyperlink r:id="rId7">
              <w:r>
                <w:rPr>
                  <w:rFonts w:ascii="Arial" w:eastAsia="Arial" w:hAnsi="Arial" w:cs="Arial"/>
                  <w:sz w:val="22"/>
                  <w:szCs w:val="22"/>
                  <w:highlight w:val="white"/>
                </w:rPr>
                <w:t xml:space="preserve"> </w:t>
              </w:r>
            </w:hyperlink>
            <w:hyperlink r:id="rId8">
              <w:r w:rsidRPr="00F559BD">
                <w:rPr>
                  <w:rFonts w:ascii="Arial" w:eastAsia="Arial" w:hAnsi="Arial" w:cs="Arial"/>
                  <w:sz w:val="22"/>
                  <w:szCs w:val="22"/>
                  <w:highlight w:val="white"/>
                  <w:u w:val="single"/>
                </w:rPr>
                <w:t>https</w:t>
              </w:r>
              <w:proofErr w:type="gramStart"/>
              <w:r w:rsidRPr="00F559BD">
                <w:rPr>
                  <w:rFonts w:ascii="Arial" w:eastAsia="Arial" w:hAnsi="Arial" w:cs="Arial"/>
                  <w:sz w:val="22"/>
                  <w:szCs w:val="22"/>
                  <w:highlight w:val="white"/>
                  <w:u w:val="single"/>
                </w:rPr>
                <w:t>://www</w:t>
              </w:r>
              <w:proofErr w:type="gramEnd"/>
              <w:r w:rsidRPr="00F559BD">
                <w:rPr>
                  <w:rFonts w:ascii="Arial" w:eastAsia="Arial" w:hAnsi="Arial" w:cs="Arial"/>
                  <w:sz w:val="22"/>
                  <w:szCs w:val="22"/>
                  <w:highlight w:val="white"/>
                  <w:u w:val="single"/>
                </w:rPr>
                <w:t>.</w:t>
              </w:r>
              <w:proofErr w:type="gramStart"/>
              <w:r w:rsidRPr="00F559BD">
                <w:rPr>
                  <w:rFonts w:ascii="Arial" w:eastAsia="Arial" w:hAnsi="Arial" w:cs="Arial"/>
                  <w:sz w:val="22"/>
                  <w:szCs w:val="22"/>
                  <w:highlight w:val="white"/>
                  <w:u w:val="single"/>
                </w:rPr>
                <w:t>researchgate</w:t>
              </w:r>
              <w:proofErr w:type="gramEnd"/>
              <w:r w:rsidRPr="00F559BD">
                <w:rPr>
                  <w:rFonts w:ascii="Arial" w:eastAsia="Arial" w:hAnsi="Arial" w:cs="Arial"/>
                  <w:sz w:val="22"/>
                  <w:szCs w:val="22"/>
                  <w:highlight w:val="white"/>
                  <w:u w:val="single"/>
                </w:rPr>
                <w:t>.</w:t>
              </w:r>
              <w:proofErr w:type="gramStart"/>
              <w:r w:rsidRPr="00F559BD">
                <w:rPr>
                  <w:rFonts w:ascii="Arial" w:eastAsia="Arial" w:hAnsi="Arial" w:cs="Arial"/>
                  <w:sz w:val="22"/>
                  <w:szCs w:val="22"/>
                  <w:highlight w:val="white"/>
                  <w:u w:val="single"/>
                </w:rPr>
                <w:t>net</w:t>
              </w:r>
              <w:proofErr w:type="gramEnd"/>
              <w:r w:rsidRPr="00F559BD">
                <w:rPr>
                  <w:rFonts w:ascii="Arial" w:eastAsia="Arial" w:hAnsi="Arial" w:cs="Arial"/>
                  <w:sz w:val="22"/>
                  <w:szCs w:val="22"/>
                  <w:highlight w:val="white"/>
                  <w:u w:val="single"/>
                </w:rPr>
                <w:t>/publication/281716361_On_Emotions_in_Foreign_Language_Learning_and_Use</w:t>
              </w:r>
            </w:hyperlink>
          </w:p>
          <w:p w:rsidR="003B43A6" w:rsidRPr="00F559BD" w:rsidRDefault="00767B09">
            <w:pPr>
              <w:widowControl w:val="0"/>
              <w:spacing w:before="240" w:after="240" w:line="276" w:lineRule="auto"/>
              <w:rPr>
                <w:rFonts w:ascii="Arial" w:eastAsia="Arial" w:hAnsi="Arial" w:cs="Arial"/>
                <w:color w:val="D83E2C"/>
                <w:sz w:val="22"/>
                <w:szCs w:val="22"/>
                <w:highlight w:val="white"/>
                <w:u w:val="single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Ellis, R. 1997 (2003). </w:t>
            </w:r>
            <w:r w:rsidRPr="00F559BD">
              <w:rPr>
                <w:rFonts w:ascii="Arial" w:eastAsia="Arial" w:hAnsi="Arial" w:cs="Arial"/>
                <w:i/>
                <w:color w:val="00000A"/>
                <w:sz w:val="22"/>
                <w:szCs w:val="22"/>
                <w:highlight w:val="white"/>
                <w:lang w:val="en-GB"/>
              </w:rPr>
              <w:t>Second Language Acquisition</w:t>
            </w: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. Oxford: Oxford UP. Chapters 8 &amp;9.   </w:t>
            </w:r>
          </w:p>
          <w:p w:rsidR="003B43A6" w:rsidRPr="00F559BD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  <w:lang w:val="en-GB"/>
              </w:rPr>
            </w:pPr>
            <w:proofErr w:type="spellStart"/>
            <w:r w:rsidRPr="00F559BD">
              <w:rPr>
                <w:rFonts w:ascii="Arial" w:eastAsia="Arial" w:hAnsi="Arial" w:cs="Arial"/>
                <w:color w:val="000000"/>
                <w:sz w:val="22"/>
                <w:szCs w:val="22"/>
                <w:lang w:val="en-GB"/>
              </w:rPr>
              <w:t>Puchta</w:t>
            </w:r>
            <w:proofErr w:type="spellEnd"/>
            <w:r w:rsidRPr="00F559BD">
              <w:rPr>
                <w:rFonts w:ascii="Arial" w:eastAsia="Arial" w:hAnsi="Arial" w:cs="Arial"/>
                <w:color w:val="000000"/>
                <w:sz w:val="22"/>
                <w:szCs w:val="22"/>
                <w:lang w:val="en-GB"/>
              </w:rPr>
              <w:t xml:space="preserve">, H., </w:t>
            </w:r>
            <w:proofErr w:type="spellStart"/>
            <w:r w:rsidRPr="00F559BD">
              <w:rPr>
                <w:rFonts w:ascii="Arial" w:eastAsia="Arial" w:hAnsi="Arial" w:cs="Arial"/>
                <w:color w:val="000000"/>
                <w:sz w:val="22"/>
                <w:szCs w:val="22"/>
                <w:lang w:val="en-GB"/>
              </w:rPr>
              <w:t>Rinvolucri</w:t>
            </w:r>
            <w:proofErr w:type="spellEnd"/>
            <w:r w:rsidRPr="00F559BD">
              <w:rPr>
                <w:rFonts w:ascii="Arial" w:eastAsia="Arial" w:hAnsi="Arial" w:cs="Arial"/>
                <w:color w:val="000000"/>
                <w:sz w:val="22"/>
                <w:szCs w:val="22"/>
                <w:lang w:val="en-GB"/>
              </w:rPr>
              <w:t xml:space="preserve">, M. 2007. </w:t>
            </w:r>
            <w:r w:rsidRPr="00F559BD">
              <w:rPr>
                <w:rFonts w:ascii="Arial" w:eastAsia="Arial" w:hAnsi="Arial" w:cs="Arial"/>
                <w:i/>
                <w:color w:val="000000"/>
                <w:sz w:val="22"/>
                <w:szCs w:val="22"/>
                <w:lang w:val="en-GB"/>
              </w:rPr>
              <w:t xml:space="preserve">Multiple Intelligences in EFL. Exercises for secondary and  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F559BD">
              <w:rPr>
                <w:rFonts w:ascii="Arial" w:eastAsia="Arial" w:hAnsi="Arial" w:cs="Arial"/>
                <w:i/>
                <w:color w:val="000000"/>
                <w:sz w:val="22"/>
                <w:szCs w:val="22"/>
                <w:lang w:val="en-GB"/>
              </w:rPr>
              <w:t xml:space="preserve">           </w:t>
            </w:r>
            <w:proofErr w:type="spellStart"/>
            <w:proofErr w:type="gram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adult</w:t>
            </w:r>
            <w:proofErr w:type="spellEnd"/>
            <w:proofErr w:type="gram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students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 Cambridge: CUP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a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3B43A6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Wykład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3B43A6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3B43A6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</w:rPr>
              <w:t>2</w:t>
            </w:r>
          </w:p>
        </w:tc>
      </w:tr>
      <w:tr w:rsidR="003B43A6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Ilość godzin pracy studenta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3B43A6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3B43A6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60</w:t>
            </w:r>
          </w:p>
        </w:tc>
      </w:tr>
      <w:tr w:rsidR="003B43A6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3B43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789" w:rsidRDefault="00DC0789">
      <w:r>
        <w:separator/>
      </w:r>
    </w:p>
  </w:endnote>
  <w:endnote w:type="continuationSeparator" w:id="0">
    <w:p w:rsidR="00DC0789" w:rsidRDefault="00DC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767B0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B92EE5">
      <w:rPr>
        <w:noProof/>
        <w:color w:val="000000"/>
        <w:sz w:val="24"/>
        <w:szCs w:val="24"/>
      </w:rPr>
      <w:t>5</w:t>
    </w:r>
    <w:r>
      <w:rPr>
        <w:color w:val="000000"/>
        <w:sz w:val="24"/>
        <w:szCs w:val="24"/>
      </w:rPr>
      <w:fldChar w:fldCharType="end"/>
    </w:r>
  </w:p>
  <w:p w:rsidR="003B43A6" w:rsidRDefault="003B43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789" w:rsidRDefault="00DC0789">
      <w:r>
        <w:separator/>
      </w:r>
    </w:p>
  </w:footnote>
  <w:footnote w:type="continuationSeparator" w:id="0">
    <w:p w:rsidR="00DC0789" w:rsidRDefault="00DC0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keepNext/>
      <w:widowControl w:val="0"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keepNext/>
      <w:widowControl w:val="0"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keepNext/>
      <w:widowControl w:val="0"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61F26"/>
    <w:multiLevelType w:val="multilevel"/>
    <w:tmpl w:val="3ABA7C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B43A6"/>
    <w:rsid w:val="000B2617"/>
    <w:rsid w:val="003B43A6"/>
    <w:rsid w:val="005E152C"/>
    <w:rsid w:val="00664725"/>
    <w:rsid w:val="00767B09"/>
    <w:rsid w:val="00774B58"/>
    <w:rsid w:val="00874867"/>
    <w:rsid w:val="008A28D6"/>
    <w:rsid w:val="00936314"/>
    <w:rsid w:val="00A7540F"/>
    <w:rsid w:val="00B37212"/>
    <w:rsid w:val="00B92EE5"/>
    <w:rsid w:val="00C576C4"/>
    <w:rsid w:val="00D724EE"/>
    <w:rsid w:val="00DC0789"/>
    <w:rsid w:val="00F559BD"/>
    <w:rsid w:val="00F7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BF93A-83E3-4FAB-A715-84BF1FA2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281716361_On_Emotions_in_Foreign_Language_Learning_and_Us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publication/281716361_On_Emotions_in_Foreign_Language_Learning_and_Us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Anna Ścibior-Gajewska</cp:lastModifiedBy>
  <cp:revision>7</cp:revision>
  <dcterms:created xsi:type="dcterms:W3CDTF">2020-09-30T16:03:00Z</dcterms:created>
  <dcterms:modified xsi:type="dcterms:W3CDTF">2020-10-07T15:32:00Z</dcterms:modified>
</cp:coreProperties>
</file>