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FA" w:rsidRPr="00373796" w:rsidRDefault="00F306FA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373796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:rsidR="00F306FA" w:rsidRPr="00373796" w:rsidRDefault="00F306F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F306FA" w:rsidRPr="00373796" w:rsidRDefault="00F306F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F306FA" w:rsidRDefault="00F306FA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373796">
        <w:rPr>
          <w:rFonts w:ascii="Arial" w:hAnsi="Arial" w:cs="Arial"/>
          <w:b/>
          <w:bCs/>
          <w:sz w:val="20"/>
          <w:szCs w:val="20"/>
        </w:rPr>
        <w:t>KARTA KURSU</w:t>
      </w:r>
    </w:p>
    <w:p w:rsidR="00D01462" w:rsidRPr="00D01462" w:rsidRDefault="00D01462" w:rsidP="00D01462"/>
    <w:p w:rsidR="00F306FA" w:rsidRPr="00373796" w:rsidRDefault="00F306F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306FA" w:rsidRPr="0037379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700A9" w:rsidRPr="00373796" w:rsidRDefault="00FA0561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Dydaktyka języka angielskiego 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>II-2</w:t>
            </w:r>
            <w:r w:rsidR="001E68D7" w:rsidRPr="00373796">
              <w:rPr>
                <w:rFonts w:ascii="Arial" w:hAnsi="Arial" w:cs="Arial"/>
                <w:sz w:val="20"/>
                <w:szCs w:val="20"/>
              </w:rPr>
              <w:t xml:space="preserve"> studia</w:t>
            </w:r>
            <w:r w:rsidR="00B46E14" w:rsidRPr="00373796">
              <w:rPr>
                <w:rFonts w:ascii="Arial" w:hAnsi="Arial" w:cs="Arial"/>
                <w:sz w:val="20"/>
                <w:szCs w:val="20"/>
              </w:rPr>
              <w:t xml:space="preserve"> stacjonarne</w:t>
            </w:r>
          </w:p>
          <w:p w:rsidR="00F306FA" w:rsidRPr="00373796" w:rsidRDefault="007700A9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–</w:t>
            </w:r>
            <w:r w:rsidR="00FA0561"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3796">
              <w:rPr>
                <w:rFonts w:ascii="Arial" w:hAnsi="Arial" w:cs="Arial"/>
                <w:sz w:val="20"/>
                <w:szCs w:val="20"/>
              </w:rPr>
              <w:t>wykład+</w:t>
            </w:r>
            <w:r w:rsidR="003519B9" w:rsidRPr="00373796">
              <w:rPr>
                <w:rFonts w:ascii="Arial" w:hAnsi="Arial" w:cs="Arial"/>
                <w:sz w:val="20"/>
                <w:szCs w:val="20"/>
              </w:rPr>
              <w:t>ćwiczenia</w:t>
            </w:r>
            <w:r w:rsidRPr="00373796">
              <w:rPr>
                <w:rFonts w:ascii="Arial" w:hAnsi="Arial" w:cs="Arial"/>
                <w:sz w:val="20"/>
                <w:szCs w:val="20"/>
              </w:rPr>
              <w:t>+e-learning</w:t>
            </w:r>
            <w:proofErr w:type="spellEnd"/>
          </w:p>
        </w:tc>
      </w:tr>
      <w:tr w:rsidR="00F306FA" w:rsidRPr="007D43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306FA" w:rsidRPr="00373796" w:rsidRDefault="00FA0561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sz w:val="20"/>
                <w:szCs w:val="20"/>
                <w:lang w:val="en-US"/>
              </w:rPr>
              <w:t>TEFL methodology</w:t>
            </w:r>
            <w:r w:rsidR="00321AFA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II-2</w:t>
            </w:r>
            <w:r w:rsidR="00153C76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MA Year 2 </w:t>
            </w:r>
            <w:proofErr w:type="spellStart"/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>sem</w:t>
            </w:r>
            <w:proofErr w:type="spellEnd"/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r w:rsidR="00153C76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II-2 – </w:t>
            </w:r>
            <w:proofErr w:type="spellStart"/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>lecture+class</w:t>
            </w:r>
            <w:proofErr w:type="spellEnd"/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e-learning module</w:t>
            </w:r>
          </w:p>
        </w:tc>
      </w:tr>
    </w:tbl>
    <w:p w:rsidR="00F306FA" w:rsidRPr="00373796" w:rsidRDefault="00F306F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306FA" w:rsidRPr="0037379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F306FA" w:rsidRPr="00373796" w:rsidRDefault="009B0A1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MZ</w:t>
            </w:r>
            <w:r w:rsidR="008F01F0" w:rsidRPr="00373796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306FA" w:rsidRPr="00373796" w:rsidRDefault="009B0A1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F306FA" w:rsidRPr="00373796" w:rsidRDefault="00F306F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306FA" w:rsidRPr="0037379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F01F0" w:rsidRPr="00373796" w:rsidRDefault="008F01F0" w:rsidP="008F0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Dr hab. Prof. UP. Joanna Rokita-</w:t>
            </w:r>
            <w:proofErr w:type="spellStart"/>
            <w:r w:rsidRPr="00373796">
              <w:rPr>
                <w:rFonts w:ascii="Arial" w:hAnsi="Arial" w:cs="Arial"/>
                <w:sz w:val="20"/>
                <w:szCs w:val="20"/>
              </w:rPr>
              <w:t>Jaśkow</w:t>
            </w:r>
            <w:proofErr w:type="spellEnd"/>
          </w:p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124E1" w:rsidRPr="00373796" w:rsidRDefault="00E124E1" w:rsidP="00E12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A0561" w:rsidRPr="00373796" w:rsidRDefault="00E124E1" w:rsidP="00E12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Dr Sabina Nowak 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–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 xml:space="preserve">W i </w:t>
            </w:r>
            <w:proofErr w:type="spellStart"/>
            <w:r w:rsidRPr="00373796">
              <w:rPr>
                <w:rFonts w:ascii="Arial" w:hAnsi="Arial" w:cs="Arial"/>
                <w:sz w:val="20"/>
                <w:szCs w:val="20"/>
              </w:rPr>
              <w:t>Ćw+e</w:t>
            </w:r>
            <w:proofErr w:type="spellEnd"/>
            <w:r w:rsidRPr="00373796">
              <w:rPr>
                <w:rFonts w:ascii="Arial" w:hAnsi="Arial" w:cs="Arial"/>
                <w:sz w:val="20"/>
                <w:szCs w:val="20"/>
              </w:rPr>
              <w:t>/l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 xml:space="preserve">Opis kursu (cele </w:t>
      </w:r>
      <w:r w:rsidR="0019226D">
        <w:rPr>
          <w:rFonts w:ascii="Arial" w:hAnsi="Arial" w:cs="Arial"/>
          <w:sz w:val="20"/>
          <w:szCs w:val="20"/>
        </w:rPr>
        <w:t>uczenia się</w:t>
      </w:r>
      <w:r w:rsidRPr="00373796">
        <w:rPr>
          <w:rFonts w:ascii="Arial" w:hAnsi="Arial" w:cs="Arial"/>
          <w:sz w:val="20"/>
          <w:szCs w:val="20"/>
        </w:rPr>
        <w:t>)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306FA" w:rsidRPr="00373796" w:rsidTr="007700A9">
        <w:trPr>
          <w:trHeight w:val="561"/>
        </w:trPr>
        <w:tc>
          <w:tcPr>
            <w:tcW w:w="9640" w:type="dxa"/>
          </w:tcPr>
          <w:p w:rsidR="00F306FA" w:rsidRPr="00373796" w:rsidRDefault="00C614A4" w:rsidP="00321AFA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Celem kursu jest syntetyczne omówienie problemów dydaktyki języka obcego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 xml:space="preserve"> z naciskiem na czynniki wpływające na przyswajanie języka obcego. 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Warunki wstępne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 w:rsidTr="00B26D55">
        <w:trPr>
          <w:trHeight w:val="820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306FA" w:rsidRPr="00D01462" w:rsidRDefault="00C614A4" w:rsidP="00D0146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932E6" w:rsidRPr="00373796">
              <w:rPr>
                <w:rFonts w:ascii="Arial" w:hAnsi="Arial" w:cs="Arial"/>
                <w:sz w:val="20"/>
                <w:szCs w:val="20"/>
              </w:rPr>
              <w:t>współczesnych tendencji w glottodyd</w:t>
            </w:r>
            <w:r w:rsidR="00D01462">
              <w:rPr>
                <w:rFonts w:ascii="Arial" w:hAnsi="Arial" w:cs="Arial"/>
                <w:sz w:val="20"/>
                <w:szCs w:val="20"/>
              </w:rPr>
              <w:t>aktyce i adekwatnej terminologii</w:t>
            </w:r>
          </w:p>
        </w:tc>
      </w:tr>
      <w:tr w:rsidR="00F306FA" w:rsidRPr="0037379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306FA" w:rsidRPr="00373796" w:rsidRDefault="00C614A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932E6" w:rsidRPr="00373796">
              <w:rPr>
                <w:rFonts w:ascii="Arial" w:hAnsi="Arial" w:cs="Arial"/>
                <w:sz w:val="20"/>
                <w:szCs w:val="20"/>
              </w:rPr>
              <w:t>przygotowania i przeprowadzenia lekcji z wykorzystaniem nowych metod, w tym ICT</w:t>
            </w:r>
          </w:p>
          <w:p w:rsidR="00F306FA" w:rsidRPr="00373796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:rsidRPr="00373796"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306FA" w:rsidRPr="00373796" w:rsidRDefault="00C614A4" w:rsidP="00B26D5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Dydaktyka języków obcych na poziomie licencjackim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F306FA" w:rsidRDefault="00D014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  <w:r w:rsidR="00F306FA" w:rsidRPr="00373796">
        <w:rPr>
          <w:rFonts w:ascii="Arial" w:hAnsi="Arial" w:cs="Arial"/>
          <w:sz w:val="20"/>
          <w:szCs w:val="20"/>
        </w:rPr>
        <w:t xml:space="preserve"> 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65"/>
      </w:tblGrid>
      <w:tr w:rsidR="00F306FA" w:rsidRPr="00373796" w:rsidTr="00F153B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gridSpan w:val="3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rPr>
          <w:cantSplit/>
          <w:trHeight w:val="2684"/>
        </w:trPr>
        <w:tc>
          <w:tcPr>
            <w:tcW w:w="1979" w:type="dxa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gridSpan w:val="3"/>
          </w:tcPr>
          <w:p w:rsidR="00D01462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</w:t>
            </w:r>
          </w:p>
          <w:p w:rsidR="00D01462" w:rsidRDefault="00B26D55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W01 posiada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pogłębioną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̨ i rozszerzoną wiedzę o specyfice przedmiotowej i metodologicznej w zakresie dydaktyki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obcego, którą jest w stani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rozwijać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i twórczo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stosować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działalności</w:t>
            </w:r>
            <w:r w:rsidR="00D01462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profesjonalnej </w:t>
            </w:r>
          </w:p>
          <w:p w:rsidR="00F306FA" w:rsidRPr="00373796" w:rsidRDefault="00D01462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posiada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pogłębioną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̨ wiedzę i zrozumienie metod analizy, interpretacji,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wartościowania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 problematyzowania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zagadnień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właściwych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wybranych tradycji, teorii lub szkół badawczych w zakresie przyswajania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obcego </w:t>
            </w:r>
          </w:p>
        </w:tc>
        <w:tc>
          <w:tcPr>
            <w:tcW w:w="2365" w:type="dxa"/>
          </w:tcPr>
          <w:p w:rsidR="007D43B8" w:rsidRPr="007D43B8" w:rsidRDefault="007D43B8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K2_W01 </w:t>
            </w:r>
          </w:p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 w:rsidP="00C868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B26D55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K2_W05  </w:t>
            </w:r>
          </w:p>
        </w:tc>
      </w:tr>
      <w:tr w:rsidR="00F306FA" w:rsidRPr="00373796" w:rsidTr="00F153B2">
        <w:trPr>
          <w:cantSplit/>
          <w:trHeight w:val="939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rPr>
          <w:cantSplit/>
          <w:trHeight w:val="2116"/>
        </w:trPr>
        <w:tc>
          <w:tcPr>
            <w:tcW w:w="1985" w:type="dxa"/>
            <w:gridSpan w:val="2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8687F" w:rsidRPr="00373796" w:rsidRDefault="004834FF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U01 wyszukuje, analizuje, ocenia, selekcjonuje i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użytkuje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z wykorzystaniem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różnych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źródeł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formułować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na tej podstawie krytyczne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sądy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06FA" w:rsidRPr="00373796" w:rsidRDefault="00D01462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argumentuje w sposób merytoryczny z wykorzystaniem własnych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poglądów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poglądów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innych autorów, tworzy syntetyczne podsumowania </w:t>
            </w:r>
          </w:p>
        </w:tc>
        <w:tc>
          <w:tcPr>
            <w:tcW w:w="2410" w:type="dxa"/>
            <w:gridSpan w:val="2"/>
          </w:tcPr>
          <w:p w:rsidR="00D01462" w:rsidRDefault="00D01462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K2_U01 </w:t>
            </w: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K2_U06 </w:t>
            </w:r>
          </w:p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:rsidRPr="003737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rPr>
          <w:cantSplit/>
          <w:trHeight w:val="882"/>
        </w:trPr>
        <w:tc>
          <w:tcPr>
            <w:tcW w:w="1985" w:type="dxa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14A4" w:rsidRPr="00373796" w:rsidRDefault="00C614A4" w:rsidP="00C614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F306FA" w:rsidRPr="00373796" w:rsidRDefault="00D01462" w:rsidP="00F153B2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K01 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prawidłowo identyfikuje i rozstrzyga problemy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związane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z wykonywaniem zawodu </w:t>
            </w:r>
          </w:p>
        </w:tc>
        <w:tc>
          <w:tcPr>
            <w:tcW w:w="2410" w:type="dxa"/>
          </w:tcPr>
          <w:p w:rsidR="00C614A4" w:rsidRPr="00373796" w:rsidRDefault="00C614A4" w:rsidP="00C614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K2_K02 </w:t>
            </w:r>
          </w:p>
          <w:p w:rsidR="00C614A4" w:rsidRPr="00373796" w:rsidRDefault="00B26D55" w:rsidP="00B26D55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614A4" w:rsidRPr="00373796" w:rsidRDefault="00C614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306FA" w:rsidRPr="003737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306FA" w:rsidRPr="003737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</w:t>
            </w:r>
          </w:p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306FA" w:rsidRPr="003737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:rsidRPr="003737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306FA" w:rsidRPr="00373796" w:rsidRDefault="007700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F153B2" w:rsidRDefault="00F153B2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Opis metod prowadzenia zajęć</w:t>
      </w: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 w:rsidTr="00CB3876">
        <w:trPr>
          <w:trHeight w:val="476"/>
        </w:trPr>
        <w:tc>
          <w:tcPr>
            <w:tcW w:w="9622" w:type="dxa"/>
          </w:tcPr>
          <w:p w:rsidR="00D01462" w:rsidRDefault="00D0146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F306FA" w:rsidRPr="00373796" w:rsidRDefault="003519B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Ćwiczenia; organizacja hybrydowa</w:t>
            </w:r>
          </w:p>
          <w:p w:rsidR="007700A9" w:rsidRDefault="007700A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3796">
              <w:rPr>
                <w:rFonts w:ascii="Arial" w:hAnsi="Arial" w:cs="Arial"/>
                <w:sz w:val="20"/>
                <w:szCs w:val="20"/>
              </w:rPr>
              <w:t>Telekolaboracja</w:t>
            </w:r>
            <w:proofErr w:type="spellEnd"/>
            <w:r w:rsidRPr="00373796">
              <w:rPr>
                <w:rFonts w:ascii="Arial" w:hAnsi="Arial" w:cs="Arial"/>
                <w:sz w:val="20"/>
                <w:szCs w:val="20"/>
              </w:rPr>
              <w:t>, praca typu projekt, aktywny udział w forum dyskusyjny online, prowadzenie i moderowanie forum online we współpracy z zespołem</w:t>
            </w:r>
          </w:p>
          <w:p w:rsidR="00D01462" w:rsidRDefault="00D0146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W okresie zdalnego nauczania w czasie epidemii: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Zajęcia odbywają się w trybie synchronicznym online, na platformie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MSTeams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>/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Moodle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 xml:space="preserve">. 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Materiały przekazywane są studentom za pośrednictwem: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MSTeams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 xml:space="preserve">, platformy elearningowej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Moodle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>, e-mail.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Studenci zobowiązani są do aktywnego uczestnictwa w zajęciach online.</w:t>
            </w:r>
          </w:p>
          <w:p w:rsidR="004874F4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Studenci oddają zadania za pośrednictwem platformy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Moodle</w:t>
            </w:r>
            <w:proofErr w:type="spellEnd"/>
          </w:p>
          <w:p w:rsidR="00D01462" w:rsidRPr="00373796" w:rsidRDefault="00D01462" w:rsidP="004874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F306FA" w:rsidRDefault="00F306FA">
      <w:pPr>
        <w:pStyle w:val="Zawartotabeli"/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lastRenderedPageBreak/>
        <w:t>Formy spr</w:t>
      </w:r>
      <w:r w:rsidR="00D01462">
        <w:rPr>
          <w:rFonts w:ascii="Arial" w:hAnsi="Arial" w:cs="Arial"/>
          <w:sz w:val="20"/>
          <w:szCs w:val="20"/>
        </w:rPr>
        <w:t>awdzania efektów uczenia się</w:t>
      </w:r>
    </w:p>
    <w:p w:rsidR="00D01462" w:rsidRPr="00373796" w:rsidRDefault="00D0146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306FA" w:rsidRPr="00373796" w:rsidTr="00D01462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73796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E124E1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W01 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Default="001E440B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:rsidR="004874F4" w:rsidRPr="00373796" w:rsidRDefault="004874F4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RDK</w:t>
            </w:r>
          </w:p>
        </w:tc>
      </w:tr>
      <w:tr w:rsidR="00E124E1" w:rsidRPr="00373796" w:rsidTr="00D01462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E124E1" w:rsidRDefault="00D01462" w:rsidP="00D01462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W02</w:t>
            </w:r>
            <w:r w:rsidR="00E124E1"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D01462" w:rsidRPr="00373796" w:rsidRDefault="00D01462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E124E1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Default="001E440B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:rsidR="004874F4" w:rsidRPr="00373796" w:rsidRDefault="004874F4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RDK</w:t>
            </w:r>
          </w:p>
        </w:tc>
      </w:tr>
      <w:tr w:rsidR="00E124E1" w:rsidRPr="00373796" w:rsidTr="00D01462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D01462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D01462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Pr="00373796" w:rsidRDefault="00F306FA">
      <w:pPr>
        <w:pStyle w:val="Zawartotabeli"/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Refleksyjny dziennik kształcenia (</w:t>
            </w:r>
            <w:r w:rsidRPr="00D01462">
              <w:rPr>
                <w:b/>
                <w:bCs/>
                <w:sz w:val="22"/>
                <w:szCs w:val="22"/>
              </w:rPr>
              <w:t>RDK</w:t>
            </w:r>
            <w:r w:rsidRPr="00D01462">
              <w:rPr>
                <w:sz w:val="22"/>
                <w:szCs w:val="22"/>
              </w:rPr>
              <w:t>) (50p.)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Jeden projekt grupowy (20p.)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Jeden projekt indywidualny (20p.)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Aktywność (10p.)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100-92%: bardzo dobry (5,0)</w:t>
            </w:r>
            <w:r w:rsidRPr="00D01462">
              <w:rPr>
                <w:sz w:val="22"/>
                <w:szCs w:val="22"/>
              </w:rPr>
              <w:br/>
              <w:t>91-84%: dobry plus (4,5)</w:t>
            </w:r>
            <w:r w:rsidRPr="00D01462">
              <w:rPr>
                <w:sz w:val="22"/>
                <w:szCs w:val="22"/>
              </w:rPr>
              <w:br/>
              <w:t>83-76%: dobry (4,0)</w:t>
            </w:r>
            <w:r w:rsidRPr="00D01462">
              <w:rPr>
                <w:sz w:val="22"/>
                <w:szCs w:val="22"/>
              </w:rPr>
              <w:br/>
              <w:t>75-68%: dostateczny plus (3,5)</w:t>
            </w:r>
            <w:r w:rsidRPr="00D01462">
              <w:rPr>
                <w:sz w:val="22"/>
                <w:szCs w:val="22"/>
              </w:rPr>
              <w:br/>
              <w:t>67-60%: dostateczny (3,0)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Ilość prac zaliczeniowych w ramach RDK oraz szczegółowe warunki zaliczenia wyznaczane są przez prowadzącego zajęcia oraz są omawiane na początku kursu.</w:t>
            </w:r>
          </w:p>
          <w:p w:rsidR="004874F4" w:rsidRPr="00D01462" w:rsidRDefault="004874F4" w:rsidP="00D01462">
            <w:pPr>
              <w:pStyle w:val="Bezodstpw"/>
              <w:rPr>
                <w:b/>
                <w:bCs/>
                <w:color w:val="FF0000"/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b/>
                <w:bCs/>
                <w:color w:val="FF0000"/>
                <w:sz w:val="22"/>
                <w:szCs w:val="22"/>
              </w:rPr>
            </w:pPr>
            <w:r w:rsidRPr="00D01462">
              <w:rPr>
                <w:b/>
                <w:bCs/>
                <w:color w:val="FF0000"/>
                <w:sz w:val="22"/>
                <w:szCs w:val="22"/>
              </w:rPr>
              <w:t>W okresie nauczania zdalnego w czasie epidemii:</w:t>
            </w:r>
          </w:p>
          <w:p w:rsidR="00F306FA" w:rsidRPr="00373796" w:rsidRDefault="004874F4" w:rsidP="00D0146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01462">
              <w:rPr>
                <w:color w:val="FF0000"/>
                <w:sz w:val="22"/>
                <w:szCs w:val="22"/>
              </w:rPr>
              <w:t>Wymagane jest aktywne uczestnictwo w zajęciach online i systematyczne wykonywanie zadań. W przypadku nieobecności na zajęciach online z powodu choroby Studenta/</w:t>
            </w:r>
            <w:proofErr w:type="spellStart"/>
            <w:r w:rsidRPr="00D01462">
              <w:rPr>
                <w:color w:val="FF0000"/>
                <w:sz w:val="22"/>
                <w:szCs w:val="22"/>
              </w:rPr>
              <w:t>tki</w:t>
            </w:r>
            <w:proofErr w:type="spellEnd"/>
            <w:r w:rsidRPr="00D01462">
              <w:rPr>
                <w:color w:val="FF0000"/>
                <w:sz w:val="22"/>
                <w:szCs w:val="22"/>
              </w:rPr>
              <w:t>, Prowadzący ustali indywidualnie zasady nadrobienia materiału. Nieobecność należy zgłosić Prowadzącemu najpóźniej w dniu zajęć.</w:t>
            </w:r>
          </w:p>
        </w:tc>
      </w:tr>
    </w:tbl>
    <w:p w:rsidR="001E440B" w:rsidRPr="00373796" w:rsidRDefault="001E44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 w:rsidTr="004874F4">
        <w:trPr>
          <w:trHeight w:val="783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50331" w:rsidRPr="00373796" w:rsidRDefault="002D04D8" w:rsidP="00F5033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Forum </w:t>
            </w:r>
            <w:r w:rsidR="00D01462">
              <w:rPr>
                <w:rFonts w:ascii="Arial" w:hAnsi="Arial" w:cs="Arial"/>
                <w:sz w:val="20"/>
                <w:szCs w:val="20"/>
              </w:rPr>
              <w:t>dyskusyjne jest dostępne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w określ</w:t>
            </w:r>
            <w:r w:rsidR="00D01462">
              <w:rPr>
                <w:rFonts w:ascii="Arial" w:hAnsi="Arial" w:cs="Arial"/>
                <w:sz w:val="20"/>
                <w:szCs w:val="20"/>
              </w:rPr>
              <w:t>onych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terminach (od data/godzina-do data/godzina). Prac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e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pisemne mus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zą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być terminowo wysłane. </w:t>
            </w:r>
          </w:p>
        </w:tc>
      </w:tr>
    </w:tbl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p w:rsidR="00F306FA" w:rsidRPr="00373796" w:rsidRDefault="00F306FA">
      <w:pPr>
        <w:rPr>
          <w:rFonts w:ascii="Arial" w:hAnsi="Arial" w:cs="Arial"/>
          <w:b/>
          <w:sz w:val="20"/>
          <w:szCs w:val="20"/>
        </w:rPr>
      </w:pPr>
      <w:r w:rsidRPr="00373796">
        <w:rPr>
          <w:rFonts w:ascii="Arial" w:hAnsi="Arial" w:cs="Arial"/>
          <w:b/>
          <w:sz w:val="20"/>
          <w:szCs w:val="20"/>
        </w:rPr>
        <w:t>Treści merytoryczne (wykaz tematów)</w:t>
      </w:r>
    </w:p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rPr>
          <w:trHeight w:val="1136"/>
        </w:trPr>
        <w:tc>
          <w:tcPr>
            <w:tcW w:w="9622" w:type="dxa"/>
          </w:tcPr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Odwrócona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klasa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ang.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 Flipped Classroom)</w:t>
            </w:r>
          </w:p>
          <w:p w:rsidR="00B45236" w:rsidRPr="00373796" w:rsidRDefault="00B45236" w:rsidP="005312A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Portfolia językowe; Portfolio dla nauczycieli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Zintegrowane nauczanie przedmiotowo-językowe (ang. </w:t>
            </w: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Content and Language Integrated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Nauczanie przez odkrywanie (ang.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Inquiry-based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Rola korpusów językowych w glottodydaktyce (ang.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Data_Driven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Rola sfery afektywnej w glottodydaktyce; Kształtowanie relacji pomiędzy nauczycielem a uczniem.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Krytyczne myślenie i kreatywność w nauce języka obcego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Modele i praca metodą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tutoringu</w:t>
            </w:r>
            <w:proofErr w:type="spellEnd"/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Praca z uczniem uzdolnionym językowo/dwujęzycznym</w:t>
            </w:r>
          </w:p>
          <w:p w:rsidR="00B45236" w:rsidRPr="00373796" w:rsidRDefault="00B45236" w:rsidP="00E932E6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Tworzenie i cyfrowa dystrybucja treści dydaktycznych (ang.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Creating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Sharing</w:t>
            </w:r>
            <w:proofErr w:type="spellEnd"/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Content)</w:t>
            </w:r>
          </w:p>
        </w:tc>
      </w:tr>
    </w:tbl>
    <w:p w:rsidR="00F306FA" w:rsidRPr="00373796" w:rsidRDefault="00F306FA">
      <w:pPr>
        <w:rPr>
          <w:rFonts w:ascii="Arial" w:hAnsi="Arial" w:cs="Arial"/>
          <w:bCs/>
          <w:sz w:val="20"/>
          <w:szCs w:val="20"/>
          <w:lang w:val="en-US"/>
        </w:rPr>
      </w:pPr>
    </w:p>
    <w:p w:rsidR="00F306FA" w:rsidRPr="00373796" w:rsidRDefault="00F306FA">
      <w:pPr>
        <w:rPr>
          <w:rFonts w:ascii="Arial" w:hAnsi="Arial" w:cs="Arial"/>
          <w:bCs/>
          <w:sz w:val="20"/>
          <w:szCs w:val="20"/>
        </w:rPr>
      </w:pPr>
      <w:proofErr w:type="spellStart"/>
      <w:r w:rsidRPr="00373796">
        <w:rPr>
          <w:rFonts w:ascii="Arial" w:hAnsi="Arial" w:cs="Arial"/>
          <w:bCs/>
          <w:sz w:val="20"/>
          <w:szCs w:val="20"/>
          <w:lang w:val="en-US"/>
        </w:rPr>
        <w:lastRenderedPageBreak/>
        <w:t>Wy</w:t>
      </w:r>
      <w:r w:rsidRPr="00373796">
        <w:rPr>
          <w:rFonts w:ascii="Arial" w:hAnsi="Arial" w:cs="Arial"/>
          <w:bCs/>
          <w:sz w:val="20"/>
          <w:szCs w:val="20"/>
        </w:rPr>
        <w:t>kaz</w:t>
      </w:r>
      <w:proofErr w:type="spellEnd"/>
      <w:r w:rsidRPr="00373796">
        <w:rPr>
          <w:rFonts w:ascii="Arial" w:hAnsi="Arial" w:cs="Arial"/>
          <w:bCs/>
          <w:sz w:val="20"/>
          <w:szCs w:val="20"/>
        </w:rPr>
        <w:t xml:space="preserve"> literatury podstawowej</w:t>
      </w:r>
    </w:p>
    <w:p w:rsidR="00BC3732" w:rsidRPr="00373796" w:rsidRDefault="00BC373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rPr>
          <w:trHeight w:val="1098"/>
        </w:trPr>
        <w:tc>
          <w:tcPr>
            <w:tcW w:w="9622" w:type="dxa"/>
          </w:tcPr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Harmer, J. (2012). </w:t>
            </w:r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 xml:space="preserve">Essential Teacher knowledge. Core Concepts in English Language Teaching. </w:t>
            </w:r>
            <w:proofErr w:type="spellStart"/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pearson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Felchicov</w:t>
            </w:r>
            <w:proofErr w:type="spellEnd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N. (2001).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Learning Together. Peer Tutoring in Higher Education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. London and New York: </w:t>
            </w:r>
            <w:proofErr w:type="spellStart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RoutledgeFalmer</w:t>
            </w:r>
            <w:proofErr w:type="spellEnd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.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Lightbown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, P. M., and N. </w:t>
            </w: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Spada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. (1993).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How Languages Are Learnt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Oxford: OUP.</w:t>
            </w:r>
          </w:p>
          <w:p w:rsidR="005312AF" w:rsidRPr="00373796" w:rsidRDefault="00BC3732" w:rsidP="00BC3732">
            <w:pPr>
              <w:pStyle w:val="Zawartotabeli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Richards J.C. &amp; </w:t>
            </w:r>
            <w:proofErr w:type="spellStart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Renandya</w:t>
            </w:r>
            <w:proofErr w:type="spellEnd"/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(2010).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Methodology in Language Teaching. An Anthology of Current Practice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. 14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  <w:lang w:val="en-US"/>
              </w:rPr>
              <w:t>th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printing. CUP.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  <w:lang w:val="en-US"/>
        </w:rPr>
      </w:pPr>
    </w:p>
    <w:p w:rsidR="00F306FA" w:rsidRPr="00373796" w:rsidRDefault="00F306FA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373796">
        <w:rPr>
          <w:rFonts w:ascii="Arial" w:hAnsi="Arial" w:cs="Arial"/>
          <w:sz w:val="20"/>
          <w:szCs w:val="20"/>
          <w:lang w:val="en-US"/>
        </w:rPr>
        <w:t>Wykaz</w:t>
      </w:r>
      <w:proofErr w:type="spellEnd"/>
      <w:r w:rsidRPr="0037379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73796">
        <w:rPr>
          <w:rFonts w:ascii="Arial" w:hAnsi="Arial" w:cs="Arial"/>
          <w:sz w:val="20"/>
          <w:szCs w:val="20"/>
          <w:lang w:val="en-US"/>
        </w:rPr>
        <w:t>literatury</w:t>
      </w:r>
      <w:proofErr w:type="spellEnd"/>
      <w:r w:rsidRPr="0037379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73796">
        <w:rPr>
          <w:rFonts w:ascii="Arial" w:hAnsi="Arial" w:cs="Arial"/>
          <w:sz w:val="20"/>
          <w:szCs w:val="20"/>
          <w:lang w:val="en-US"/>
        </w:rPr>
        <w:t>uzupełniającej</w:t>
      </w:r>
      <w:proofErr w:type="spellEnd"/>
    </w:p>
    <w:p w:rsidR="00BC3732" w:rsidRPr="00373796" w:rsidRDefault="00BC373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rPr>
          <w:trHeight w:val="1112"/>
        </w:trPr>
        <w:tc>
          <w:tcPr>
            <w:tcW w:w="9622" w:type="dxa"/>
          </w:tcPr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Brown, H.D. (1987).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Principles of Language Learning and Teaching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London: Prentice-Hall International.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Ellis, R. (1985).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Understanding Second Language Acquisition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Oxford: OUP.</w:t>
            </w:r>
          </w:p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Ellis, R. (1994).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The study of Second Language Acquisition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 University Press.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Fingas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, B. et al. 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(2015). </w:t>
            </w:r>
            <w:proofErr w:type="spellStart"/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Tutoring</w:t>
            </w:r>
            <w:proofErr w:type="spellEnd"/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. Teoria praktyka studia przypadków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hyperlink r:id="rId8" w:tooltip="Wolters Kluwer Polska SA" w:history="1">
              <w:r w:rsidRPr="00373796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 xml:space="preserve">Wolters Kluwer </w:t>
              </w:r>
              <w:proofErr w:type="spellStart"/>
              <w:r w:rsidRPr="00373796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Polska</w:t>
              </w:r>
              <w:proofErr w:type="spellEnd"/>
              <w:r w:rsidRPr="00373796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 xml:space="preserve"> SA</w:t>
              </w:r>
            </w:hyperlink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Johnsen, S. K (2011). </w:t>
            </w:r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>Identifying Gifted Students: A Practical Guide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(2nd ed.) Waco Texas. </w:t>
            </w:r>
            <w:proofErr w:type="spellStart"/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>Prufrock</w:t>
            </w:r>
            <w:proofErr w:type="spellEnd"/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Press. 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Muszyńska, B. Papaja, K. (2019)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Zintegrowane kształcenie przedmiotowo-językowe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. 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Warszawa. PWN.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Oxford, R. 1990.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Language Learning Strategies: What Every Teacher Should Know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. Boston: </w:t>
            </w: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Heinle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Heinle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 Publishers.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Turula</w:t>
            </w:r>
            <w:proofErr w:type="spellEnd"/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, A. 2010.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Teaching English as a Foreign Language. From Theory to Practice … and All the Way Back. </w:t>
            </w:r>
            <w:proofErr w:type="spellStart"/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Częstochowa</w:t>
            </w:r>
            <w:proofErr w:type="spellEnd"/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Wydawnictwo</w:t>
            </w:r>
            <w:proofErr w:type="spellEnd"/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WSL.</w:t>
            </w:r>
          </w:p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Ur, P., 1996.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A Course in Language Teaching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Cambridge. CUP.</w:t>
            </w:r>
          </w:p>
          <w:p w:rsidR="00147E40" w:rsidRPr="00373796" w:rsidRDefault="00BC3732" w:rsidP="00BC3732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Willis, J. 1996.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A Framework for Task-Based Learning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OUP.</w:t>
            </w:r>
          </w:p>
        </w:tc>
      </w:tr>
    </w:tbl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p w:rsidR="00B03587" w:rsidRDefault="00B03587">
      <w:pPr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p w:rsidR="00F306FA" w:rsidRPr="00373796" w:rsidRDefault="00F306FA">
      <w:pPr>
        <w:pStyle w:val="Tekstdymka1"/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C3732" w:rsidRPr="00373796" w:rsidRDefault="00BC3732">
      <w:pPr>
        <w:pStyle w:val="Tekstdymka1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332"/>
      </w:tblGrid>
      <w:tr w:rsidR="00F306FA" w:rsidRPr="00373796" w:rsidTr="00CB387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332" w:type="dxa"/>
            <w:vAlign w:val="center"/>
          </w:tcPr>
          <w:p w:rsidR="00F306FA" w:rsidRPr="00373796" w:rsidRDefault="002D04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306FA" w:rsidRPr="00373796" w:rsidTr="00CB387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332" w:type="dxa"/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306FA" w:rsidRPr="00373796" w:rsidTr="00CB387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F306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332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306FA" w:rsidRPr="00373796" w:rsidTr="00CB387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332" w:type="dxa"/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D04D8"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:rsidRPr="00373796" w:rsidTr="00CB387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332" w:type="dxa"/>
            <w:vAlign w:val="center"/>
          </w:tcPr>
          <w:p w:rsidR="00F306FA" w:rsidRPr="00373796" w:rsidRDefault="008F01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F306FA" w:rsidRPr="00373796" w:rsidTr="00CB387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332" w:type="dxa"/>
            <w:vAlign w:val="center"/>
          </w:tcPr>
          <w:p w:rsidR="00F306FA" w:rsidRPr="00373796" w:rsidRDefault="001E44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19B9"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:rsidRPr="00373796" w:rsidTr="00CB387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332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1E44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306FA" w:rsidRPr="00373796" w:rsidTr="00CB387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332" w:type="dxa"/>
            <w:vAlign w:val="center"/>
          </w:tcPr>
          <w:p w:rsidR="00F306FA" w:rsidRPr="00373796" w:rsidRDefault="002D04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F306FA" w:rsidRPr="00373796" w:rsidTr="00CB387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332" w:type="dxa"/>
            <w:vAlign w:val="center"/>
          </w:tcPr>
          <w:p w:rsidR="00F306FA" w:rsidRPr="00373796" w:rsidRDefault="00492668" w:rsidP="004926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F306FA" w:rsidRPr="00373796" w:rsidRDefault="00F306FA">
      <w:pPr>
        <w:pStyle w:val="Tekstdymka1"/>
        <w:rPr>
          <w:rFonts w:ascii="Arial" w:hAnsi="Arial" w:cs="Arial"/>
          <w:sz w:val="20"/>
          <w:szCs w:val="20"/>
        </w:rPr>
      </w:pPr>
    </w:p>
    <w:sectPr w:rsidR="00F306FA" w:rsidRPr="003737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A09" w:rsidRDefault="00BB7A09">
      <w:r>
        <w:separator/>
      </w:r>
    </w:p>
  </w:endnote>
  <w:endnote w:type="continuationSeparator" w:id="0">
    <w:p w:rsidR="00BB7A09" w:rsidRDefault="00BB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43B8">
      <w:rPr>
        <w:noProof/>
      </w:rPr>
      <w:t>4</w:t>
    </w:r>
    <w:r>
      <w:fldChar w:fldCharType="end"/>
    </w:r>
  </w:p>
  <w:p w:rsidR="002D04D8" w:rsidRDefault="002D04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A09" w:rsidRDefault="00BB7A09">
      <w:r>
        <w:separator/>
      </w:r>
    </w:p>
  </w:footnote>
  <w:footnote w:type="continuationSeparator" w:id="0">
    <w:p w:rsidR="00BB7A09" w:rsidRDefault="00BB7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47E3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4887B3A"/>
    <w:multiLevelType w:val="hybridMultilevel"/>
    <w:tmpl w:val="543AC5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77B12"/>
    <w:multiLevelType w:val="hybridMultilevel"/>
    <w:tmpl w:val="63D4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47D91"/>
    <w:multiLevelType w:val="hybridMultilevel"/>
    <w:tmpl w:val="9B242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32039"/>
    <w:multiLevelType w:val="hybridMultilevel"/>
    <w:tmpl w:val="C5284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1F6653"/>
    <w:multiLevelType w:val="hybridMultilevel"/>
    <w:tmpl w:val="D97CF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26D73"/>
    <w:rsid w:val="000909D0"/>
    <w:rsid w:val="00147E40"/>
    <w:rsid w:val="00153C76"/>
    <w:rsid w:val="0019226D"/>
    <w:rsid w:val="001E440B"/>
    <w:rsid w:val="001E68D7"/>
    <w:rsid w:val="00256BFC"/>
    <w:rsid w:val="002A4173"/>
    <w:rsid w:val="002B7AF4"/>
    <w:rsid w:val="002D04D8"/>
    <w:rsid w:val="00321AFA"/>
    <w:rsid w:val="00350AE6"/>
    <w:rsid w:val="003519B9"/>
    <w:rsid w:val="00373796"/>
    <w:rsid w:val="003A4AE1"/>
    <w:rsid w:val="003B1262"/>
    <w:rsid w:val="00412332"/>
    <w:rsid w:val="00452D9C"/>
    <w:rsid w:val="004834FF"/>
    <w:rsid w:val="004874F4"/>
    <w:rsid w:val="00492668"/>
    <w:rsid w:val="004A5C00"/>
    <w:rsid w:val="004C1684"/>
    <w:rsid w:val="00500A18"/>
    <w:rsid w:val="005312AF"/>
    <w:rsid w:val="00556E2F"/>
    <w:rsid w:val="00621175"/>
    <w:rsid w:val="006557E3"/>
    <w:rsid w:val="006628A2"/>
    <w:rsid w:val="00734190"/>
    <w:rsid w:val="007700A9"/>
    <w:rsid w:val="0077114A"/>
    <w:rsid w:val="007D208E"/>
    <w:rsid w:val="007D43B8"/>
    <w:rsid w:val="00800756"/>
    <w:rsid w:val="008F01F0"/>
    <w:rsid w:val="00907BF5"/>
    <w:rsid w:val="009417AD"/>
    <w:rsid w:val="009857E0"/>
    <w:rsid w:val="009B0A1E"/>
    <w:rsid w:val="009D220F"/>
    <w:rsid w:val="009E6C23"/>
    <w:rsid w:val="00A35892"/>
    <w:rsid w:val="00A75525"/>
    <w:rsid w:val="00A83CD1"/>
    <w:rsid w:val="00A94650"/>
    <w:rsid w:val="00B03587"/>
    <w:rsid w:val="00B03F2E"/>
    <w:rsid w:val="00B055B5"/>
    <w:rsid w:val="00B15F6F"/>
    <w:rsid w:val="00B26D55"/>
    <w:rsid w:val="00B342A8"/>
    <w:rsid w:val="00B45236"/>
    <w:rsid w:val="00B46E14"/>
    <w:rsid w:val="00BB7A09"/>
    <w:rsid w:val="00BC3732"/>
    <w:rsid w:val="00C32153"/>
    <w:rsid w:val="00C50A23"/>
    <w:rsid w:val="00C614A4"/>
    <w:rsid w:val="00C72BBE"/>
    <w:rsid w:val="00C8687F"/>
    <w:rsid w:val="00CB3876"/>
    <w:rsid w:val="00D01462"/>
    <w:rsid w:val="00D074C9"/>
    <w:rsid w:val="00D32B1C"/>
    <w:rsid w:val="00D4299B"/>
    <w:rsid w:val="00D55285"/>
    <w:rsid w:val="00DC3762"/>
    <w:rsid w:val="00DE040D"/>
    <w:rsid w:val="00E124E1"/>
    <w:rsid w:val="00E12CD1"/>
    <w:rsid w:val="00E277D3"/>
    <w:rsid w:val="00E932E6"/>
    <w:rsid w:val="00F153B2"/>
    <w:rsid w:val="00F23F33"/>
    <w:rsid w:val="00F306FA"/>
    <w:rsid w:val="00F50331"/>
    <w:rsid w:val="00FA0561"/>
    <w:rsid w:val="00FE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C614A4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NormalnyWeb">
    <w:name w:val="Normal (Web)"/>
    <w:basedOn w:val="Normalny"/>
    <w:unhideWhenUsed/>
    <w:rsid w:val="00E932E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Normalny1">
    <w:name w:val="Normalny1"/>
    <w:rsid w:val="008F01F0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Bezodstpw">
    <w:name w:val="No Spacing"/>
    <w:uiPriority w:val="1"/>
    <w:qFormat/>
    <w:rsid w:val="00D0146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C614A4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NormalnyWeb">
    <w:name w:val="Normal (Web)"/>
    <w:basedOn w:val="Normalny"/>
    <w:unhideWhenUsed/>
    <w:rsid w:val="00E932E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Normalny1">
    <w:name w:val="Normalny1"/>
    <w:rsid w:val="008F01F0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Bezodstpw">
    <w:name w:val="No Spacing"/>
    <w:uiPriority w:val="1"/>
    <w:qFormat/>
    <w:rsid w:val="00D0146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-Polska-SA,w,71008665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1011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6767</CharactersWithSpaces>
  <SharedDoc>false</SharedDoc>
  <HLinks>
    <vt:vector size="6" baseType="variant">
      <vt:variant>
        <vt:i4>2293879</vt:i4>
      </vt:variant>
      <vt:variant>
        <vt:i4>0</vt:i4>
      </vt:variant>
      <vt:variant>
        <vt:i4>0</vt:i4>
      </vt:variant>
      <vt:variant>
        <vt:i4>5</vt:i4>
      </vt:variant>
      <vt:variant>
        <vt:lpwstr>https://ksiegarnia.pwn.pl/wydawca/Wolters-Kluwer-Polska-SA,w,710086657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2020-10-08T20:02:00Z</dcterms:created>
  <dcterms:modified xsi:type="dcterms:W3CDTF">2020-10-08T20:04:00Z</dcterms:modified>
</cp:coreProperties>
</file>